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3" w:rsidRDefault="008C5F73">
      <w:pPr>
        <w:spacing w:after="0" w:line="276" w:lineRule="auto"/>
        <w:jc w:val="right"/>
        <w:rPr>
          <w:rFonts w:eastAsiaTheme="minorEastAsia" w:cs="Times New Roman"/>
          <w:szCs w:val="28"/>
          <w:lang w:val="kk-KZ" w:eastAsia="ru-RU"/>
        </w:rPr>
      </w:pPr>
      <w:bookmarkStart w:id="0" w:name="_Hlk183629611"/>
      <w:r w:rsidRPr="008C5F73">
        <w:rPr>
          <w:rFonts w:eastAsiaTheme="minorEastAsia" w:cs="Times New Roman"/>
          <w:noProof/>
          <w:szCs w:val="28"/>
          <w:lang w:eastAsia="ru-RU"/>
        </w:rPr>
        <w:drawing>
          <wp:inline distT="0" distB="0" distL="0" distR="0">
            <wp:extent cx="5939790" cy="8164485"/>
            <wp:effectExtent l="0" t="0" r="3810" b="8255"/>
            <wp:docPr id="1" name="Рисунок 1" descr="C:\Users\Кайнар Нуржанулы\Desktop\псих\2025-01-09_15-49-39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йнар Нуржанулы\Desktop\псих\2025-01-09_15-49-39_winscan_to_pd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2CF">
        <w:rPr>
          <w:rFonts w:eastAsiaTheme="minorEastAsia" w:cs="Times New Roman"/>
          <w:szCs w:val="28"/>
          <w:lang w:val="kk-KZ" w:eastAsia="ru-RU"/>
        </w:rPr>
        <w:t xml:space="preserve"> </w:t>
      </w:r>
      <w:bookmarkStart w:id="1" w:name="_Hlk183454082"/>
      <w:bookmarkEnd w:id="0"/>
    </w:p>
    <w:p w:rsidR="008C5F73" w:rsidRDefault="008C5F73">
      <w:pPr>
        <w:spacing w:after="0" w:line="276" w:lineRule="auto"/>
        <w:jc w:val="right"/>
        <w:rPr>
          <w:rFonts w:eastAsiaTheme="minorEastAsia" w:cs="Times New Roman"/>
          <w:szCs w:val="28"/>
          <w:lang w:val="kk-KZ" w:eastAsia="ru-RU"/>
        </w:rPr>
      </w:pPr>
    </w:p>
    <w:p w:rsidR="008C5F73" w:rsidRDefault="008C5F73">
      <w:pPr>
        <w:spacing w:after="0" w:line="276" w:lineRule="auto"/>
        <w:jc w:val="right"/>
        <w:rPr>
          <w:rFonts w:eastAsiaTheme="minorEastAsia" w:cs="Times New Roman"/>
          <w:szCs w:val="28"/>
          <w:lang w:val="kk-KZ" w:eastAsia="ru-RU"/>
        </w:rPr>
      </w:pPr>
    </w:p>
    <w:p w:rsidR="008C5F73" w:rsidRDefault="008C5F73">
      <w:pPr>
        <w:spacing w:after="0" w:line="276" w:lineRule="auto"/>
        <w:jc w:val="right"/>
        <w:rPr>
          <w:rFonts w:eastAsiaTheme="minorEastAsia" w:cs="Times New Roman"/>
          <w:szCs w:val="28"/>
          <w:lang w:val="kk-KZ" w:eastAsia="ru-RU"/>
        </w:rPr>
      </w:pPr>
    </w:p>
    <w:p w:rsidR="008C5F73" w:rsidRDefault="008C5F73">
      <w:pPr>
        <w:spacing w:after="0" w:line="276" w:lineRule="auto"/>
        <w:jc w:val="right"/>
        <w:rPr>
          <w:rFonts w:eastAsiaTheme="minorEastAsia" w:cs="Times New Roman"/>
          <w:szCs w:val="28"/>
          <w:lang w:val="kk-KZ" w:eastAsia="ru-RU"/>
        </w:rPr>
      </w:pPr>
    </w:p>
    <w:p w:rsidR="00BF6171" w:rsidRDefault="004822CF">
      <w:pPr>
        <w:spacing w:after="0" w:line="276" w:lineRule="auto"/>
        <w:jc w:val="right"/>
        <w:rPr>
          <w:rFonts w:eastAsiaTheme="minorEastAsia" w:cs="Times New Roman"/>
          <w:szCs w:val="28"/>
          <w:lang w:val="kk-KZ" w:eastAsia="ru-RU"/>
        </w:rPr>
      </w:pPr>
      <w:bookmarkStart w:id="2" w:name="_GoBack"/>
      <w:bookmarkEnd w:id="2"/>
      <w:r>
        <w:rPr>
          <w:rFonts w:cs="Times New Roman"/>
          <w:b/>
          <w:szCs w:val="28"/>
          <w:lang w:val="kk-KZ"/>
        </w:rPr>
        <w:lastRenderedPageBreak/>
        <w:t>Педагог- психологтың жылдық жоспары 2023-2024  оқу жылы</w:t>
      </w:r>
    </w:p>
    <w:p w:rsidR="00BF6171" w:rsidRDefault="00BF6171">
      <w:pPr>
        <w:spacing w:line="256" w:lineRule="auto"/>
        <w:ind w:left="-142" w:firstLine="142"/>
        <w:jc w:val="center"/>
        <w:rPr>
          <w:rFonts w:cs="Times New Roman"/>
          <w:b/>
          <w:szCs w:val="28"/>
          <w:lang w:val="kk-KZ"/>
        </w:rPr>
      </w:pPr>
    </w:p>
    <w:tbl>
      <w:tblPr>
        <w:tblStyle w:val="a4"/>
        <w:tblW w:w="10636" w:type="dxa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4002"/>
        <w:gridCol w:w="1791"/>
        <w:gridCol w:w="1298"/>
      </w:tblGrid>
      <w:tr w:rsidR="00BF6171">
        <w:tc>
          <w:tcPr>
            <w:tcW w:w="10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                                                     1.Психодиагностика</w:t>
            </w:r>
          </w:p>
        </w:tc>
      </w:tr>
      <w:tr w:rsidR="00BF6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Жұмыс мақсаты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түрі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обьектісі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Уақыты</w:t>
            </w:r>
          </w:p>
        </w:tc>
      </w:tr>
      <w:tr w:rsidR="00BF6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Баланың психикалық дамуының жас шамасына сәйкес келуін </w:t>
            </w:r>
            <w:r>
              <w:rPr>
                <w:rFonts w:cs="Times New Roman"/>
                <w:szCs w:val="28"/>
                <w:lang w:val="kk-KZ"/>
              </w:rPr>
              <w:t>психологиялық-педагогикалық тұрғыдан зерттеу және жұмыс жоспарын құру.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-Жыл басында тексеру;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Жас ерекшелігін ескере отырып зерттеу;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-Ерекше назарды қажет ететін балаларды анықтау;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-Топ бойынша балаларды сабаққа алу;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-Балалардың психофизикалық </w:t>
            </w:r>
            <w:r>
              <w:rPr>
                <w:rFonts w:cs="Times New Roman"/>
                <w:szCs w:val="28"/>
                <w:lang w:val="kk-KZ"/>
              </w:rPr>
              <w:t>ерекшеліктерін ескере отырып зерттеу,әдістерін құру;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Бақылау;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Тесттік тапсырма;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Жеке жұмыс өткізу;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Балалар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Баланың коммуникативті қарым қатынасын зерттеу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Мектепке дейінгі естияр жас топ балаларының қарым-қатынасын зерттеу;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«Отбасы суреті», «Өз</w:t>
            </w:r>
            <w:r>
              <w:rPr>
                <w:rFonts w:cs="Times New Roman"/>
                <w:szCs w:val="28"/>
                <w:lang w:val="kk-KZ"/>
              </w:rPr>
              <w:t xml:space="preserve"> бетінше сурет салу» әдістері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Топ балаларымен 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Топ бөлігі балаларымен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Психофизикалық даму деңгейін анықтау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-Жартыжылдық қорытындысын шығару;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«Суретте не жетіспейді»; (Г.В.Коменский;С.В.Зверевой)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«Төртіншісі артық»; (Д.Векслер(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«Суреттерді еске </w:t>
            </w:r>
            <w:r>
              <w:rPr>
                <w:rFonts w:cs="Times New Roman"/>
                <w:szCs w:val="28"/>
                <w:lang w:val="kk-KZ"/>
              </w:rPr>
              <w:t>сақта» (А.Н.Леонтьев)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«Айырмашылығын тап»;(Д.Векслер)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«Не жоғалды?» (Д.Векслер)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«Бір сөзбен ата» (Д.векслер)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Ересек топ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«Жеке түзету-дамыту жұмысын жасайтын балаларды» анықтау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Балаларды даму деңгейіне баға беру;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Бақылау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Барлық топтар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</w:tbl>
    <w:tbl>
      <w:tblPr>
        <w:tblStyle w:val="a4"/>
        <w:tblpPr w:leftFromText="180" w:rightFromText="180" w:vertAnchor="text" w:horzAnchor="margin" w:tblpY="-88"/>
        <w:tblW w:w="9486" w:type="dxa"/>
        <w:tblLook w:val="04A0" w:firstRow="1" w:lastRow="0" w:firstColumn="1" w:lastColumn="0" w:noHBand="0" w:noVBand="1"/>
      </w:tblPr>
      <w:tblGrid>
        <w:gridCol w:w="517"/>
        <w:gridCol w:w="1863"/>
        <w:gridCol w:w="3810"/>
        <w:gridCol w:w="1932"/>
        <w:gridCol w:w="1364"/>
      </w:tblGrid>
      <w:tr w:rsidR="00BF6171"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lastRenderedPageBreak/>
              <w:t xml:space="preserve">                                         2.Психологиялық түзету жұмыстары</w:t>
            </w:r>
          </w:p>
        </w:tc>
      </w:tr>
      <w:tr w:rsidR="00BF617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Жұмыс мақсаты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түрі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обьектісі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Уақыты</w:t>
            </w:r>
          </w:p>
        </w:tc>
      </w:tr>
      <w:tr w:rsidR="00BF617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Баланың жеке тұлға ретінде дамуына психолог маманның әсері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-Адамгершілік дағдыларын дамытуға арналған кеңес жүргізу;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Балалар 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-Коммуникативті қарым-қатынас дағдыларын арттыру;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Балалар 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-Қиын жағдаяттағы тәрбиешілерге, ата аналарға, балаларға психологиялық көмек көрсету;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Балалар 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-Балалардың таным процестерін түрлі ойындар арқылы дамыту.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Топ балаларымен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</w:tbl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tbl>
      <w:tblPr>
        <w:tblStyle w:val="a4"/>
        <w:tblpPr w:leftFromText="180" w:rightFromText="180" w:vertAnchor="text" w:horzAnchor="margin" w:tblpXSpec="center" w:tblpY="215"/>
        <w:tblW w:w="9486" w:type="dxa"/>
        <w:tblLook w:val="04A0" w:firstRow="1" w:lastRow="0" w:firstColumn="1" w:lastColumn="0" w:noHBand="0" w:noVBand="1"/>
      </w:tblPr>
      <w:tblGrid>
        <w:gridCol w:w="517"/>
        <w:gridCol w:w="1938"/>
        <w:gridCol w:w="3754"/>
        <w:gridCol w:w="1913"/>
        <w:gridCol w:w="1364"/>
      </w:tblGrid>
      <w:tr w:rsidR="00BF6171"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3. Ағарту және кеңес беру</w:t>
            </w:r>
          </w:p>
        </w:tc>
      </w:tr>
      <w:tr w:rsidR="00BF617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Жұмыс мақсаты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түрі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обьектісі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Уақыты</w:t>
            </w:r>
          </w:p>
        </w:tc>
      </w:tr>
      <w:tr w:rsidR="00BF617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Педагогтар мен ата-аналарға кеңес беру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-Жеке кеңестер беру;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-Ата-аналар </w:t>
            </w:r>
            <w:r>
              <w:rPr>
                <w:rFonts w:cs="Times New Roman"/>
                <w:szCs w:val="28"/>
                <w:lang w:val="kk-KZ"/>
              </w:rPr>
              <w:t>жиналыстарына қатысу;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-Педагогикалық кеңесте (МДҰ жоспары бойынша) ұсыныстар жасау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  <w:tr w:rsidR="00BF617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Педагогтар мен ата-аналарға кеңес беру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Ата-аналарға түрлі кеңестер беру;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(Егер балаңыз тіл алмаса...»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«Балаңыздың асқа тәбеті болмаса...</w:t>
            </w:r>
            <w:r>
              <w:rPr>
                <w:rFonts w:cs="Times New Roman"/>
                <w:szCs w:val="28"/>
                <w:lang w:val="kk-KZ"/>
              </w:rPr>
              <w:t>»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«Балаңыз балабақшаға барғысы келмесе...»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«Эмоцияның бала тәрбиесіне әсері»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</w:tr>
    </w:tbl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tbl>
      <w:tblPr>
        <w:tblStyle w:val="a4"/>
        <w:tblpPr w:leftFromText="180" w:rightFromText="180" w:vertAnchor="text" w:horzAnchor="margin" w:tblpY="56"/>
        <w:tblW w:w="9486" w:type="dxa"/>
        <w:tblLook w:val="04A0" w:firstRow="1" w:lastRow="0" w:firstColumn="1" w:lastColumn="0" w:noHBand="0" w:noVBand="1"/>
      </w:tblPr>
      <w:tblGrid>
        <w:gridCol w:w="510"/>
        <w:gridCol w:w="2195"/>
        <w:gridCol w:w="3079"/>
        <w:gridCol w:w="1949"/>
        <w:gridCol w:w="1753"/>
      </w:tblGrid>
      <w:tr w:rsidR="00BF6171"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lastRenderedPageBreak/>
              <w:t>4.Психопрофилактика</w:t>
            </w:r>
          </w:p>
        </w:tc>
      </w:tr>
      <w:tr w:rsidR="00BF61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Жұмыс мақсаты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түрі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Қызмет</w:t>
            </w:r>
            <w:r>
              <w:rPr>
                <w:rFonts w:cs="Times New Roman"/>
                <w:b/>
                <w:szCs w:val="28"/>
                <w:lang w:val="kk-KZ"/>
              </w:rPr>
              <w:t xml:space="preserve"> обьектісі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Уақыты</w:t>
            </w:r>
          </w:p>
        </w:tc>
      </w:tr>
      <w:tr w:rsidR="00BF61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Баланың психикасының  дамуына қолайлы жағдай жасау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-Бейімделу кезеңінен өтуде </w:t>
            </w:r>
            <w:r>
              <w:rPr>
                <w:rFonts w:cs="Times New Roman"/>
                <w:szCs w:val="28"/>
                <w:lang w:val="kk-KZ"/>
              </w:rPr>
              <w:t>кеңес беру;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Әр</w:t>
            </w:r>
            <w:r>
              <w:rPr>
                <w:rFonts w:cs="Times New Roman"/>
                <w:szCs w:val="28"/>
                <w:lang w:val="kk-KZ"/>
              </w:rPr>
              <w:t xml:space="preserve"> түрлі жағдаяттардың алдын алу;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-Жеке жұмыс бағытын анықтау мақсатында балалардың жеке медициналық құжаттарымен танысу.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Балалар 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(балалардың қабылданған уақытында)</w:t>
            </w:r>
          </w:p>
        </w:tc>
      </w:tr>
      <w:tr w:rsidR="00BF61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Балаларды дұрыс жетілдіру мақсатында педагог </w:t>
            </w:r>
            <w:r>
              <w:rPr>
                <w:rFonts w:cs="Times New Roman"/>
                <w:szCs w:val="28"/>
                <w:lang w:val="kk-KZ"/>
              </w:rPr>
              <w:t>мамандардың психологиялық білімдерін жетілдіру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-Тренингтер т.б.</w:t>
            </w:r>
          </w:p>
          <w:p w:rsidR="00BF6171" w:rsidRDefault="004822CF">
            <w:pPr>
              <w:spacing w:after="0" w:line="256" w:lineRule="auto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бойына өткізілген жұмыстарға талдау жасау.</w:t>
            </w: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Ата-аналар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Әкімшілікпен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</w:tc>
      </w:tr>
      <w:tr w:rsidR="00BF61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Есте сақтау деңгейін анықтау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4822CF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Сауалнама жүргізу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Тәрбиешілер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BF6171">
            <w:pPr>
              <w:spacing w:after="0"/>
              <w:rPr>
                <w:rFonts w:cs="Times New Roman"/>
                <w:szCs w:val="28"/>
                <w:lang w:val="kk-KZ"/>
              </w:rPr>
            </w:pPr>
          </w:p>
          <w:p w:rsidR="00BF6171" w:rsidRDefault="004822CF">
            <w:pPr>
              <w:spacing w:after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Жыл бойы</w:t>
            </w:r>
          </w:p>
        </w:tc>
      </w:tr>
    </w:tbl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p w:rsidR="00BF6171" w:rsidRDefault="004822CF">
      <w:pPr>
        <w:spacing w:after="0" w:line="312" w:lineRule="atLeast"/>
        <w:jc w:val="center"/>
        <w:textAlignment w:val="baseline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>Психолог қызметінің негізгі</w:t>
      </w:r>
      <w:r>
        <w:rPr>
          <w:rFonts w:cs="Times New Roman"/>
          <w:b/>
          <w:bCs/>
          <w:szCs w:val="28"/>
          <w:lang w:val="kk-KZ"/>
        </w:rPr>
        <w:t xml:space="preserve"> бағыттары</w:t>
      </w:r>
    </w:p>
    <w:p w:rsidR="00BF6171" w:rsidRDefault="00BF6171">
      <w:pPr>
        <w:spacing w:after="0" w:line="312" w:lineRule="atLeast"/>
        <w:jc w:val="center"/>
        <w:textAlignment w:val="baseline"/>
        <w:rPr>
          <w:rFonts w:cs="Times New Roman"/>
          <w:b/>
          <w:bCs/>
          <w:szCs w:val="28"/>
          <w:lang w:val="kk-KZ"/>
        </w:rPr>
      </w:pPr>
    </w:p>
    <w:p w:rsidR="00BF6171" w:rsidRDefault="004822CF">
      <w:p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          Балалар психофизиологиялық денсаулығын, жеке тұлғаның дамуын есепке алып, әр баланың психологиялық және эмоционалды  саулығына оңтайлы жағдай жасау. Тәрбиешілердің жан саулығын сақтауын және олардың кәсіби жетістікке жетуіне мүмкіндік</w:t>
      </w:r>
      <w:r>
        <w:rPr>
          <w:rFonts w:cs="Times New Roman"/>
          <w:bCs/>
          <w:szCs w:val="28"/>
          <w:lang w:val="kk-KZ"/>
        </w:rPr>
        <w:t xml:space="preserve"> жасау. Педагогтардың шығармашылық қабілеттері мен потенциялын ашуға және оны дамытуға  көмек беру негізінде жүйелі түрде шығармашылық пен ойлауын дамыту. Педагогтың және ата –аналардың қарым-қатынасын жақсарту, психологиялық–педагогикалық біліктілік дағды</w:t>
      </w:r>
      <w:r>
        <w:rPr>
          <w:rFonts w:cs="Times New Roman"/>
          <w:bCs/>
          <w:szCs w:val="28"/>
          <w:lang w:val="kk-KZ"/>
        </w:rPr>
        <w:t>ларын қалыптастыру.</w:t>
      </w:r>
    </w:p>
    <w:p w:rsidR="00BF6171" w:rsidRDefault="004822C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>Психологиялық ағарту</w:t>
      </w:r>
    </w:p>
    <w:p w:rsidR="00BF6171" w:rsidRDefault="004822C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>Психологиялық диагностика (балалар, педагогтар, ата-аналар)</w:t>
      </w:r>
    </w:p>
    <w:p w:rsidR="00BF6171" w:rsidRDefault="004822C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lastRenderedPageBreak/>
        <w:t>Психопрафилактика</w:t>
      </w:r>
    </w:p>
    <w:p w:rsidR="00BF6171" w:rsidRDefault="004822C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>Психокоррекция</w:t>
      </w:r>
    </w:p>
    <w:p w:rsidR="00BF6171" w:rsidRDefault="004822CF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>Кеңес беру</w:t>
      </w:r>
    </w:p>
    <w:p w:rsidR="00BF6171" w:rsidRDefault="00BF6171">
      <w:pPr>
        <w:spacing w:after="0" w:line="360" w:lineRule="auto"/>
        <w:ind w:left="360"/>
        <w:jc w:val="both"/>
        <w:textAlignment w:val="baseline"/>
        <w:rPr>
          <w:rFonts w:cs="Times New Roman"/>
          <w:bCs/>
          <w:szCs w:val="28"/>
          <w:lang w:val="kk-KZ"/>
        </w:rPr>
      </w:pPr>
    </w:p>
    <w:p w:rsidR="00BF6171" w:rsidRDefault="00BF6171">
      <w:pPr>
        <w:spacing w:after="0" w:line="360" w:lineRule="auto"/>
        <w:ind w:left="360"/>
        <w:jc w:val="both"/>
        <w:textAlignment w:val="baseline"/>
        <w:rPr>
          <w:rFonts w:cs="Times New Roman"/>
          <w:bCs/>
          <w:szCs w:val="28"/>
          <w:lang w:val="kk-KZ"/>
        </w:rPr>
      </w:pPr>
    </w:p>
    <w:p w:rsidR="00BF6171" w:rsidRDefault="004822CF">
      <w:pPr>
        <w:spacing w:after="0" w:line="360" w:lineRule="auto"/>
        <w:ind w:left="360"/>
        <w:jc w:val="center"/>
        <w:textAlignment w:val="baseline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>Жоспарланған нәтижелер.</w:t>
      </w:r>
    </w:p>
    <w:p w:rsidR="00BF6171" w:rsidRDefault="004822CF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 xml:space="preserve">Мүмкін болатын түрлі кедергілерді болдырмау, яғни бала дамуындағы табиғи </w:t>
      </w:r>
      <w:r>
        <w:rPr>
          <w:rFonts w:cs="Times New Roman"/>
          <w:bCs/>
          <w:szCs w:val="28"/>
          <w:lang w:val="kk-KZ"/>
        </w:rPr>
        <w:t>механизімдерді сақтау.</w:t>
      </w:r>
    </w:p>
    <w:p w:rsidR="00BF6171" w:rsidRDefault="004822CF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>Жаңа шығармашылық ресурстарды ұдайы айқындау арқылы  балалардың жеке қасиеттерін дамыту.</w:t>
      </w:r>
    </w:p>
    <w:p w:rsidR="00BF6171" w:rsidRDefault="004822CF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cs="Times New Roman"/>
          <w:bCs/>
          <w:szCs w:val="28"/>
          <w:lang w:val="kk-KZ"/>
        </w:rPr>
      </w:pPr>
      <w:r>
        <w:rPr>
          <w:rFonts w:cs="Times New Roman"/>
          <w:bCs/>
          <w:szCs w:val="28"/>
          <w:lang w:val="kk-KZ"/>
        </w:rPr>
        <w:t>Педагогтардың қарым-қатынас жасау біліктілігін, психологиялық-педагогикалық  дағдысын жетілдіру.</w:t>
      </w:r>
    </w:p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p w:rsidR="00BF6171" w:rsidRDefault="00BF6171">
      <w:pPr>
        <w:spacing w:line="256" w:lineRule="auto"/>
        <w:ind w:left="-142" w:firstLine="142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bookmarkEnd w:id="1"/>
    <w:p w:rsidR="00BF6171" w:rsidRDefault="00BF6171">
      <w:pPr>
        <w:spacing w:after="0"/>
        <w:ind w:firstLine="709"/>
        <w:rPr>
          <w:rFonts w:cs="Times New Roman"/>
          <w:szCs w:val="28"/>
          <w:lang w:val="kk-KZ"/>
        </w:rPr>
      </w:pPr>
    </w:p>
    <w:sectPr w:rsidR="00BF6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CF" w:rsidRDefault="004822CF">
      <w:r>
        <w:separator/>
      </w:r>
    </w:p>
  </w:endnote>
  <w:endnote w:type="continuationSeparator" w:id="0">
    <w:p w:rsidR="004822CF" w:rsidRDefault="0048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CF" w:rsidRDefault="004822CF">
      <w:pPr>
        <w:spacing w:after="0"/>
      </w:pPr>
      <w:r>
        <w:separator/>
      </w:r>
    </w:p>
  </w:footnote>
  <w:footnote w:type="continuationSeparator" w:id="0">
    <w:p w:rsidR="004822CF" w:rsidRDefault="004822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01BB"/>
    <w:multiLevelType w:val="multilevel"/>
    <w:tmpl w:val="1B6701BB"/>
    <w:lvl w:ilvl="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7AA"/>
    <w:multiLevelType w:val="multilevel"/>
    <w:tmpl w:val="2F2317AA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A780A17"/>
    <w:multiLevelType w:val="multilevel"/>
    <w:tmpl w:val="5A780A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5"/>
    <w:rsid w:val="004822CF"/>
    <w:rsid w:val="005F67BB"/>
    <w:rsid w:val="006C0B77"/>
    <w:rsid w:val="00710EA0"/>
    <w:rsid w:val="007E05BB"/>
    <w:rsid w:val="008242FF"/>
    <w:rsid w:val="00870751"/>
    <w:rsid w:val="008C5F73"/>
    <w:rsid w:val="00922C48"/>
    <w:rsid w:val="00B915B7"/>
    <w:rsid w:val="00BB7C1F"/>
    <w:rsid w:val="00BF6171"/>
    <w:rsid w:val="00C34BCB"/>
    <w:rsid w:val="00E05205"/>
    <w:rsid w:val="00E50FE0"/>
    <w:rsid w:val="00EA59DF"/>
    <w:rsid w:val="00EE4070"/>
    <w:rsid w:val="00F12C76"/>
    <w:rsid w:val="00F7443F"/>
    <w:rsid w:val="16276270"/>
    <w:rsid w:val="39D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500D"/>
  <w15:docId w15:val="{511632AD-E202-4CCE-A6D6-1B7B4402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Мукашева</dc:creator>
  <cp:lastModifiedBy>Пользователь Windows</cp:lastModifiedBy>
  <cp:revision>8</cp:revision>
  <dcterms:created xsi:type="dcterms:W3CDTF">2024-11-01T10:16:00Z</dcterms:created>
  <dcterms:modified xsi:type="dcterms:W3CDTF">2025-01-09T10:50:00Z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652B4A107D0346408F66208BB9CB1482_13</vt:lpwstr>
  </property>
</Properties>
</file>